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03" w:rsidRPr="008A026B" w:rsidRDefault="00D07A03" w:rsidP="00D07A03">
      <w:pPr>
        <w:rPr>
          <w:rFonts w:ascii="Arial" w:hAnsi="Arial" w:cs="Arial"/>
          <w:b/>
          <w:color w:val="FF0000"/>
          <w:sz w:val="28"/>
        </w:rPr>
      </w:pPr>
      <w:r>
        <w:rPr>
          <w:rFonts w:ascii="Arial" w:hAnsi="Arial" w:cs="Arial"/>
          <w:b/>
          <w:color w:val="FF0000"/>
          <w:sz w:val="28"/>
        </w:rPr>
        <w:t xml:space="preserve">NCC Education </w:t>
      </w:r>
      <w:r w:rsidRPr="00DF44E8">
        <w:rPr>
          <w:rFonts w:ascii="Arial" w:hAnsi="Arial" w:cs="Arial"/>
          <w:b/>
          <w:color w:val="FF0000"/>
          <w:sz w:val="28"/>
        </w:rPr>
        <w:t xml:space="preserve">SAMPLE </w:t>
      </w:r>
      <w:r>
        <w:rPr>
          <w:rFonts w:ascii="Arial" w:hAnsi="Arial" w:cs="Arial"/>
          <w:b/>
          <w:color w:val="FF0000"/>
          <w:sz w:val="28"/>
        </w:rPr>
        <w:t>Centre Special Considerations</w:t>
      </w:r>
      <w:r w:rsidRPr="00DF44E8">
        <w:rPr>
          <w:rFonts w:ascii="Arial" w:hAnsi="Arial" w:cs="Arial"/>
          <w:b/>
          <w:color w:val="FF0000"/>
          <w:sz w:val="28"/>
        </w:rPr>
        <w:t xml:space="preserve"> Policy</w:t>
      </w:r>
      <w:r w:rsidRPr="00DF44E8">
        <w:rPr>
          <w:rFonts w:ascii="Arial" w:hAnsi="Arial" w:cs="Arial"/>
          <w:b/>
          <w:color w:val="FF0000"/>
          <w:sz w:val="28"/>
        </w:rPr>
        <w:br/>
      </w:r>
      <w:r w:rsidRPr="00130F5F">
        <w:rPr>
          <w:rFonts w:ascii="Arial" w:hAnsi="Arial" w:cs="Arial"/>
          <w:b/>
          <w:color w:val="FF0000"/>
          <w:sz w:val="28"/>
        </w:rPr>
        <w:t>AQ_36-a0</w:t>
      </w:r>
      <w:r w:rsidR="007E3ECF">
        <w:rPr>
          <w:rFonts w:ascii="Arial" w:hAnsi="Arial" w:cs="Arial"/>
          <w:b/>
          <w:color w:val="FF0000"/>
          <w:sz w:val="28"/>
        </w:rPr>
        <w:t>2</w:t>
      </w:r>
      <w:r>
        <w:rPr>
          <w:rFonts w:ascii="Arial" w:hAnsi="Arial" w:cs="Arial"/>
          <w:b/>
          <w:color w:val="FF0000"/>
          <w:sz w:val="28"/>
        </w:rPr>
        <w:br/>
      </w:r>
      <w:r>
        <w:rPr>
          <w:rFonts w:ascii="Arial" w:hAnsi="Arial" w:cs="Arial"/>
          <w:b/>
          <w:color w:val="FF0000"/>
          <w:sz w:val="28"/>
        </w:rPr>
        <w:br/>
      </w:r>
      <w:r w:rsidRPr="00D32200">
        <w:rPr>
          <w:rFonts w:ascii="Arial" w:hAnsi="Arial" w:cs="Arial"/>
          <w:b/>
          <w:color w:val="FF0000"/>
          <w:u w:val="single"/>
        </w:rPr>
        <w:t>Note to Centres:</w:t>
      </w:r>
      <w:r w:rsidRPr="00D32200">
        <w:rPr>
          <w:rFonts w:ascii="Arial" w:hAnsi="Arial" w:cs="Arial"/>
          <w:b/>
          <w:color w:val="FF0000"/>
        </w:rPr>
        <w:t xml:space="preserve"> </w:t>
      </w:r>
      <w:r w:rsidRPr="008A026B">
        <w:rPr>
          <w:rFonts w:ascii="Arial" w:hAnsi="Arial" w:cs="Arial"/>
          <w:b/>
          <w:color w:val="FF0000"/>
        </w:rPr>
        <w:t>Please complete the below template in full and insert completed policy onto company letterhead before submitting to NCC Education.</w:t>
      </w:r>
      <w:r w:rsidRPr="00D32200">
        <w:rPr>
          <w:rFonts w:ascii="Arial" w:hAnsi="Arial" w:cs="Arial"/>
          <w:color w:val="FF0000"/>
        </w:rPr>
        <w:t xml:space="preserve">  </w:t>
      </w:r>
      <w:bookmarkStart w:id="0" w:name="_GoBack"/>
      <w:bookmarkEnd w:id="0"/>
    </w:p>
    <w:p w:rsidR="00D07A03" w:rsidRDefault="00D07A03"/>
    <w:p w:rsidR="00D07A03" w:rsidRDefault="00D07A03" w:rsidP="00D07A03">
      <w:pPr>
        <w:rPr>
          <w:rFonts w:ascii="Arial" w:hAnsi="Arial" w:cs="Arial"/>
          <w:b/>
          <w:sz w:val="28"/>
        </w:rPr>
      </w:pPr>
      <w:r>
        <w:rPr>
          <w:rFonts w:ascii="Arial" w:hAnsi="Arial" w:cs="Arial"/>
          <w:b/>
          <w:sz w:val="28"/>
        </w:rPr>
        <w:t>Introduction</w:t>
      </w:r>
    </w:p>
    <w:p w:rsidR="00D07A03" w:rsidRDefault="00D07A03" w:rsidP="00D07A03">
      <w:pPr>
        <w:rPr>
          <w:rFonts w:ascii="Arial" w:hAnsi="Arial" w:cs="Arial"/>
        </w:rPr>
      </w:pPr>
      <w:r>
        <w:rPr>
          <w:rFonts w:ascii="Arial" w:hAnsi="Arial" w:cs="Arial"/>
        </w:rPr>
        <w:t xml:space="preserve">‘Special Considerations’ means the arrangements made to modify assessments for candidates experiencing illness, injury or disability. </w:t>
      </w:r>
    </w:p>
    <w:p w:rsidR="00D07A03" w:rsidRDefault="00D07A03" w:rsidP="00D07A03">
      <w:pPr>
        <w:rPr>
          <w:rFonts w:ascii="Arial" w:hAnsi="Arial" w:cs="Arial"/>
        </w:rPr>
      </w:pPr>
      <w:r>
        <w:rPr>
          <w:rFonts w:ascii="Arial" w:hAnsi="Arial" w:cs="Arial"/>
        </w:rPr>
        <w:t>Special Considerations can be split into two separate areas; pre-assessment and post-assessment.</w:t>
      </w:r>
    </w:p>
    <w:p w:rsidR="00D07A03" w:rsidRDefault="00D07A03" w:rsidP="00D07A03">
      <w:pPr>
        <w:spacing w:before="120" w:after="120" w:line="240" w:lineRule="auto"/>
        <w:rPr>
          <w:rFonts w:ascii="Arial" w:eastAsia="Times New Roman" w:hAnsi="Arial" w:cs="Arial"/>
          <w:szCs w:val="24"/>
        </w:rPr>
      </w:pPr>
      <w:r>
        <w:rPr>
          <w:rFonts w:ascii="Arial" w:eastAsia="Times New Roman" w:hAnsi="Arial" w:cs="Arial"/>
          <w:b/>
          <w:szCs w:val="24"/>
        </w:rPr>
        <w:t>Pre-assessment special considerations</w:t>
      </w:r>
      <w:r>
        <w:rPr>
          <w:rFonts w:ascii="Arial" w:eastAsia="Times New Roman" w:hAnsi="Arial" w:cs="Arial"/>
          <w:szCs w:val="24"/>
        </w:rPr>
        <w:t xml:space="preserve">, which are approved before an examination or assessment, are intended to </w:t>
      </w:r>
      <w:r>
        <w:rPr>
          <w:rFonts w:ascii="Arial" w:eastAsia="Times New Roman" w:hAnsi="Arial" w:cs="Arial"/>
          <w:szCs w:val="24"/>
          <w:u w:val="single"/>
        </w:rPr>
        <w:t>allow attainment to be demonstrated</w:t>
      </w:r>
      <w:r>
        <w:rPr>
          <w:rFonts w:ascii="Arial" w:eastAsia="Times New Roman" w:hAnsi="Arial" w:cs="Arial"/>
          <w:szCs w:val="24"/>
        </w:rPr>
        <w:t>; for example the production of a modified paper for a candidate with a visual impairment, whose need has previously been established. These are also known as reasonable adjustments.</w:t>
      </w:r>
    </w:p>
    <w:p w:rsidR="00D07A03" w:rsidRDefault="00D07A03" w:rsidP="00D07A03">
      <w:pPr>
        <w:spacing w:before="120" w:after="120" w:line="240" w:lineRule="auto"/>
        <w:rPr>
          <w:rFonts w:ascii="Arial" w:eastAsia="Times New Roman" w:hAnsi="Arial" w:cs="Arial"/>
          <w:szCs w:val="24"/>
        </w:rPr>
      </w:pPr>
      <w:r>
        <w:rPr>
          <w:rFonts w:ascii="Arial" w:eastAsia="Times New Roman" w:hAnsi="Arial" w:cs="Arial"/>
          <w:b/>
          <w:szCs w:val="24"/>
        </w:rPr>
        <w:t>Post-assessment special considerations</w:t>
      </w:r>
      <w:r>
        <w:rPr>
          <w:rFonts w:ascii="Arial" w:eastAsia="Times New Roman" w:hAnsi="Arial" w:cs="Arial"/>
          <w:szCs w:val="24"/>
        </w:rPr>
        <w:t xml:space="preserve">, which may be given following an examination or assessment, are intended to ensure that a candidate with a temporary illness, injury or indisposition at the time the assessment is conducted is </w:t>
      </w:r>
      <w:r>
        <w:rPr>
          <w:rFonts w:ascii="Arial" w:eastAsia="Times New Roman" w:hAnsi="Arial" w:cs="Arial"/>
          <w:szCs w:val="24"/>
          <w:u w:val="single"/>
        </w:rPr>
        <w:t>given some recognition</w:t>
      </w:r>
      <w:r>
        <w:rPr>
          <w:rFonts w:ascii="Arial" w:eastAsia="Times New Roman" w:hAnsi="Arial" w:cs="Arial"/>
          <w:szCs w:val="24"/>
        </w:rPr>
        <w:t xml:space="preserve"> of the difficulty he/she has faced. These are also known as extenuating circumstances.</w:t>
      </w:r>
    </w:p>
    <w:p w:rsidR="00D07A03" w:rsidRDefault="00D07A03" w:rsidP="00D07A03">
      <w:pPr>
        <w:rPr>
          <w:rFonts w:ascii="Arial" w:hAnsi="Arial" w:cs="Arial"/>
        </w:rPr>
      </w:pPr>
      <w:r>
        <w:rPr>
          <w:rFonts w:ascii="Arial" w:eastAsia="Times New Roman" w:hAnsi="Arial" w:cs="Arial"/>
          <w:szCs w:val="24"/>
        </w:rPr>
        <w:t>There will be instances when a candidate is either too unwell or distressed to cope adequately with an assessment and in such cases the special consideration may be to allow the candidate to take the assessment at a later date as if for the first time, with no maximum limit on his/her attainment.</w:t>
      </w:r>
    </w:p>
    <w:p w:rsidR="00D07A03" w:rsidRPr="00D07A03" w:rsidRDefault="000403AF" w:rsidP="00D07A03">
      <w:pPr>
        <w:rPr>
          <w:rFonts w:ascii="Arial" w:hAnsi="Arial" w:cs="Arial"/>
        </w:rPr>
      </w:pPr>
      <w:r w:rsidRPr="003E40B4">
        <w:rPr>
          <w:rFonts w:ascii="Arial" w:hAnsi="Arial" w:cs="Arial"/>
          <w:b/>
          <w:color w:val="FF0000"/>
        </w:rPr>
        <w:t xml:space="preserve">[CENTRE NAME] </w:t>
      </w:r>
      <w:r w:rsidR="00D07A03">
        <w:rPr>
          <w:rFonts w:ascii="Arial" w:hAnsi="Arial" w:cs="Arial"/>
        </w:rPr>
        <w:t>has a responsibility to ensure that all its candidates have equal opportunities to reach their full potential. In some instances candidates may require adjustments to the assessment process to give them an equal opportunity.</w:t>
      </w:r>
    </w:p>
    <w:p w:rsidR="00D07A03" w:rsidRDefault="00D07A03" w:rsidP="00D07A03">
      <w:pPr>
        <w:rPr>
          <w:rFonts w:ascii="Arial" w:hAnsi="Arial" w:cs="Arial"/>
          <w:b/>
          <w:sz w:val="28"/>
        </w:rPr>
      </w:pPr>
      <w:r>
        <w:rPr>
          <w:rFonts w:ascii="Arial" w:hAnsi="Arial" w:cs="Arial"/>
          <w:b/>
          <w:sz w:val="28"/>
        </w:rPr>
        <w:t>Examples</w:t>
      </w:r>
    </w:p>
    <w:p w:rsidR="00D07A03" w:rsidRDefault="00D07A03" w:rsidP="00D07A03">
      <w:pPr>
        <w:rPr>
          <w:rFonts w:ascii="Arial" w:hAnsi="Arial" w:cs="Arial"/>
          <w:b/>
          <w:sz w:val="24"/>
        </w:rPr>
      </w:pPr>
      <w:r>
        <w:rPr>
          <w:rFonts w:ascii="Arial" w:hAnsi="Arial" w:cs="Arial"/>
          <w:b/>
          <w:sz w:val="24"/>
        </w:rPr>
        <w:t>Pre-assessment Special Considerations</w:t>
      </w:r>
    </w:p>
    <w:p w:rsidR="00D07A03" w:rsidRDefault="00D07A03" w:rsidP="00D07A03">
      <w:pPr>
        <w:rPr>
          <w:rFonts w:ascii="Arial" w:hAnsi="Arial" w:cs="Arial"/>
        </w:rPr>
      </w:pPr>
      <w:r>
        <w:rPr>
          <w:rFonts w:ascii="Arial" w:hAnsi="Arial" w:cs="Arial"/>
        </w:rPr>
        <w:t>The table below lists some examples of common special considerations or disabilities or effects that may lead to the application of pre-assessment adjustments. This is not an exhaustive list: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827"/>
        <w:gridCol w:w="3663"/>
      </w:tblGrid>
      <w:tr w:rsidR="00D07A03" w:rsidTr="000B59D2">
        <w:tc>
          <w:tcPr>
            <w:tcW w:w="2410" w:type="dxa"/>
          </w:tcPr>
          <w:p w:rsidR="00D07A03" w:rsidRDefault="00D07A03" w:rsidP="000B59D2">
            <w:pPr>
              <w:autoSpaceDE w:val="0"/>
              <w:autoSpaceDN w:val="0"/>
              <w:adjustRightInd w:val="0"/>
              <w:spacing w:before="60" w:after="60" w:line="240" w:lineRule="auto"/>
              <w:rPr>
                <w:rFonts w:ascii="Arial" w:eastAsia="Times New Roman" w:hAnsi="Arial" w:cs="Arial"/>
                <w:b/>
                <w:szCs w:val="24"/>
              </w:rPr>
            </w:pPr>
            <w:r>
              <w:rPr>
                <w:rFonts w:ascii="Arial" w:eastAsia="Times New Roman" w:hAnsi="Arial" w:cs="Arial"/>
                <w:b/>
                <w:szCs w:val="24"/>
              </w:rPr>
              <w:t>Special Consideration type</w:t>
            </w:r>
          </w:p>
        </w:tc>
        <w:tc>
          <w:tcPr>
            <w:tcW w:w="3827" w:type="dxa"/>
          </w:tcPr>
          <w:p w:rsidR="00D07A03" w:rsidRDefault="00D07A03" w:rsidP="000B59D2">
            <w:pPr>
              <w:autoSpaceDE w:val="0"/>
              <w:autoSpaceDN w:val="0"/>
              <w:adjustRightInd w:val="0"/>
              <w:spacing w:before="60" w:after="60" w:line="240" w:lineRule="auto"/>
              <w:rPr>
                <w:rFonts w:ascii="Arial" w:eastAsia="Times New Roman" w:hAnsi="Arial" w:cs="Arial"/>
                <w:b/>
                <w:szCs w:val="24"/>
              </w:rPr>
            </w:pPr>
            <w:r>
              <w:rPr>
                <w:rFonts w:ascii="Arial" w:eastAsia="Times New Roman" w:hAnsi="Arial" w:cs="Arial"/>
                <w:b/>
                <w:szCs w:val="24"/>
              </w:rPr>
              <w:t>Examples</w:t>
            </w:r>
          </w:p>
        </w:tc>
        <w:tc>
          <w:tcPr>
            <w:tcW w:w="3663" w:type="dxa"/>
          </w:tcPr>
          <w:p w:rsidR="00D07A03" w:rsidRDefault="00D07A03" w:rsidP="000B59D2">
            <w:pPr>
              <w:autoSpaceDE w:val="0"/>
              <w:autoSpaceDN w:val="0"/>
              <w:adjustRightInd w:val="0"/>
              <w:spacing w:before="60" w:after="60" w:line="240" w:lineRule="auto"/>
              <w:rPr>
                <w:rFonts w:ascii="Arial" w:eastAsia="Times New Roman" w:hAnsi="Arial" w:cs="Arial"/>
                <w:b/>
                <w:szCs w:val="24"/>
              </w:rPr>
            </w:pPr>
            <w:r>
              <w:rPr>
                <w:rFonts w:ascii="Arial" w:eastAsia="Times New Roman" w:hAnsi="Arial" w:cs="Arial"/>
                <w:b/>
                <w:szCs w:val="24"/>
              </w:rPr>
              <w:t>Typical adjustment</w:t>
            </w:r>
          </w:p>
        </w:tc>
      </w:tr>
      <w:tr w:rsidR="00D07A03" w:rsidTr="000B59D2">
        <w:tc>
          <w:tcPr>
            <w:tcW w:w="2410"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Communication and Interaction</w:t>
            </w:r>
          </w:p>
        </w:tc>
        <w:tc>
          <w:tcPr>
            <w:tcW w:w="3827"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Written communications difficulties, autism, dominant hand injury</w:t>
            </w:r>
          </w:p>
        </w:tc>
        <w:tc>
          <w:tcPr>
            <w:tcW w:w="3663"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Extra time, scribe, word processor</w:t>
            </w:r>
          </w:p>
        </w:tc>
      </w:tr>
      <w:tr w:rsidR="00D07A03" w:rsidTr="000B59D2">
        <w:tc>
          <w:tcPr>
            <w:tcW w:w="2410"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Cognition and Learning</w:t>
            </w:r>
          </w:p>
        </w:tc>
        <w:tc>
          <w:tcPr>
            <w:tcW w:w="3827"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Learning difficulty, dyspraxia, dyslexia</w:t>
            </w:r>
          </w:p>
        </w:tc>
        <w:tc>
          <w:tcPr>
            <w:tcW w:w="3663"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Extra time, reader, scribe</w:t>
            </w:r>
          </w:p>
        </w:tc>
      </w:tr>
      <w:tr w:rsidR="00D07A03" w:rsidTr="000B59D2">
        <w:tc>
          <w:tcPr>
            <w:tcW w:w="2410"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Sensory and Physical Needs</w:t>
            </w:r>
          </w:p>
        </w:tc>
        <w:tc>
          <w:tcPr>
            <w:tcW w:w="3827"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Restricted language/vocabulary, visual impairment, colour blindness</w:t>
            </w:r>
          </w:p>
        </w:tc>
        <w:tc>
          <w:tcPr>
            <w:tcW w:w="3663"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Braille paper, large print, coloured paper, extra time</w:t>
            </w:r>
          </w:p>
        </w:tc>
      </w:tr>
      <w:tr w:rsidR="00D07A03" w:rsidTr="000B59D2">
        <w:tc>
          <w:tcPr>
            <w:tcW w:w="2410"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lastRenderedPageBreak/>
              <w:t>Behavioural, Emotional and Social Needs</w:t>
            </w:r>
          </w:p>
        </w:tc>
        <w:tc>
          <w:tcPr>
            <w:tcW w:w="3827"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Obsessive-compulsive disorder (OCD), Asperger’s syndrome, Tourette’s syndrome</w:t>
            </w:r>
          </w:p>
        </w:tc>
        <w:tc>
          <w:tcPr>
            <w:tcW w:w="3663" w:type="dxa"/>
          </w:tcPr>
          <w:p w:rsidR="00D07A03" w:rsidRDefault="00D07A03" w:rsidP="000B59D2">
            <w:pPr>
              <w:autoSpaceDE w:val="0"/>
              <w:autoSpaceDN w:val="0"/>
              <w:adjustRightInd w:val="0"/>
              <w:spacing w:before="60" w:after="60" w:line="240" w:lineRule="auto"/>
              <w:rPr>
                <w:rFonts w:ascii="Arial" w:eastAsia="Times New Roman" w:hAnsi="Arial" w:cs="Arial"/>
                <w:szCs w:val="24"/>
              </w:rPr>
            </w:pPr>
            <w:r>
              <w:rPr>
                <w:rFonts w:ascii="Arial" w:eastAsia="Times New Roman" w:hAnsi="Arial" w:cs="Arial"/>
                <w:szCs w:val="24"/>
              </w:rPr>
              <w:t>Prompter, rest breaks, alternative venue</w:t>
            </w:r>
          </w:p>
        </w:tc>
      </w:tr>
    </w:tbl>
    <w:p w:rsidR="00D07A03" w:rsidRDefault="00D07A03" w:rsidP="00D07A03">
      <w:pPr>
        <w:rPr>
          <w:rFonts w:ascii="Arial" w:hAnsi="Arial" w:cs="Arial"/>
          <w:b/>
          <w:sz w:val="24"/>
        </w:rPr>
      </w:pPr>
    </w:p>
    <w:p w:rsidR="00D07A03" w:rsidRDefault="00D07A03" w:rsidP="000403AF">
      <w:pPr>
        <w:rPr>
          <w:rFonts w:ascii="Arial" w:hAnsi="Arial" w:cs="Arial"/>
          <w:b/>
          <w:sz w:val="24"/>
        </w:rPr>
      </w:pPr>
      <w:r>
        <w:rPr>
          <w:rFonts w:ascii="Arial" w:hAnsi="Arial" w:cs="Arial"/>
          <w:b/>
          <w:sz w:val="24"/>
        </w:rPr>
        <w:t>Post-assessment Special Considerations</w:t>
      </w:r>
    </w:p>
    <w:p w:rsidR="00D07A03" w:rsidRDefault="00D07A03" w:rsidP="000403AF">
      <w:pPr>
        <w:spacing w:before="240" w:after="240" w:line="240" w:lineRule="auto"/>
        <w:rPr>
          <w:rFonts w:ascii="Arial" w:eastAsia="Times New Roman" w:hAnsi="Arial" w:cs="Arial"/>
          <w:szCs w:val="24"/>
        </w:rPr>
      </w:pPr>
      <w:r>
        <w:rPr>
          <w:rFonts w:ascii="Arial" w:eastAsia="Times New Roman" w:hAnsi="Arial" w:cs="Arial"/>
          <w:szCs w:val="24"/>
        </w:rPr>
        <w:t>An application may be made for post-assessment special consideration either:</w:t>
      </w:r>
    </w:p>
    <w:p w:rsidR="00D07A03" w:rsidRDefault="00D07A03" w:rsidP="000403AF">
      <w:pPr>
        <w:numPr>
          <w:ilvl w:val="0"/>
          <w:numId w:val="1"/>
        </w:numPr>
        <w:spacing w:before="120" w:after="120" w:line="240" w:lineRule="auto"/>
        <w:rPr>
          <w:rFonts w:ascii="Arial" w:eastAsia="Times New Roman" w:hAnsi="Arial" w:cs="Arial"/>
          <w:szCs w:val="24"/>
        </w:rPr>
      </w:pPr>
      <w:r>
        <w:rPr>
          <w:rFonts w:ascii="Arial" w:eastAsia="Times New Roman" w:hAnsi="Arial" w:cs="Arial"/>
          <w:b/>
          <w:bCs/>
          <w:szCs w:val="24"/>
        </w:rPr>
        <w:t>When a candidate’s performance in an examination may have been affected by circumstances beyond his/her control, for example:</w:t>
      </w:r>
      <w:r>
        <w:rPr>
          <w:rFonts w:ascii="Arial" w:eastAsia="Times New Roman" w:hAnsi="Arial" w:cs="Arial"/>
          <w:szCs w:val="24"/>
        </w:rPr>
        <w:t xml:space="preserve"> </w:t>
      </w:r>
    </w:p>
    <w:p w:rsidR="00D07A03" w:rsidRDefault="00D07A03" w:rsidP="000403AF">
      <w:pPr>
        <w:numPr>
          <w:ilvl w:val="0"/>
          <w:numId w:val="2"/>
        </w:numPr>
        <w:spacing w:before="120" w:after="120" w:line="240" w:lineRule="auto"/>
        <w:ind w:left="1440" w:hanging="360"/>
        <w:rPr>
          <w:rFonts w:ascii="Arial" w:eastAsia="Times New Roman" w:hAnsi="Arial" w:cs="Arial"/>
          <w:szCs w:val="24"/>
        </w:rPr>
      </w:pPr>
      <w:r>
        <w:rPr>
          <w:rFonts w:ascii="Arial" w:eastAsia="Times New Roman" w:hAnsi="Arial" w:cs="Arial"/>
          <w:szCs w:val="24"/>
        </w:rPr>
        <w:t xml:space="preserve">a personal trauma or upset shortly before or at the time of the examination, such as bereavement or family crisis </w:t>
      </w:r>
    </w:p>
    <w:p w:rsidR="00D07A03" w:rsidRDefault="00D07A03" w:rsidP="000403AF">
      <w:pPr>
        <w:numPr>
          <w:ilvl w:val="0"/>
          <w:numId w:val="2"/>
        </w:numPr>
        <w:spacing w:before="120" w:after="120" w:line="240" w:lineRule="auto"/>
        <w:ind w:left="1440" w:hanging="360"/>
        <w:rPr>
          <w:rFonts w:ascii="Arial" w:eastAsia="Times New Roman" w:hAnsi="Arial" w:cs="Arial"/>
          <w:szCs w:val="24"/>
        </w:rPr>
      </w:pPr>
      <w:r>
        <w:rPr>
          <w:rFonts w:ascii="Arial" w:eastAsia="Times New Roman" w:hAnsi="Arial" w:cs="Arial"/>
          <w:szCs w:val="24"/>
        </w:rPr>
        <w:t xml:space="preserve">a minor injury occurring immediately before the examination, such as a sprained wrist </w:t>
      </w:r>
    </w:p>
    <w:p w:rsidR="00D07A03" w:rsidRDefault="00D07A03" w:rsidP="000403AF">
      <w:pPr>
        <w:numPr>
          <w:ilvl w:val="0"/>
          <w:numId w:val="2"/>
        </w:numPr>
        <w:spacing w:before="120" w:after="120" w:line="240" w:lineRule="auto"/>
        <w:ind w:left="1440" w:hanging="360"/>
        <w:rPr>
          <w:rFonts w:ascii="Arial" w:eastAsia="Times New Roman" w:hAnsi="Arial" w:cs="Arial"/>
          <w:szCs w:val="24"/>
        </w:rPr>
      </w:pPr>
      <w:r>
        <w:rPr>
          <w:rFonts w:ascii="Arial" w:eastAsia="Times New Roman" w:hAnsi="Arial" w:cs="Arial"/>
          <w:szCs w:val="24"/>
        </w:rPr>
        <w:t xml:space="preserve">a sudden malfunction of the computer immediately before the examination, if it is required as part of the assessment </w:t>
      </w:r>
    </w:p>
    <w:p w:rsidR="00D07A03" w:rsidRDefault="00D07A03" w:rsidP="000403AF">
      <w:pPr>
        <w:numPr>
          <w:ilvl w:val="0"/>
          <w:numId w:val="2"/>
        </w:numPr>
        <w:spacing w:before="120" w:after="120" w:line="240" w:lineRule="auto"/>
        <w:ind w:left="1440" w:hanging="360"/>
        <w:rPr>
          <w:rFonts w:ascii="Arial" w:eastAsia="Times New Roman" w:hAnsi="Arial" w:cs="Arial"/>
          <w:szCs w:val="24"/>
        </w:rPr>
      </w:pPr>
      <w:r>
        <w:rPr>
          <w:rFonts w:ascii="Arial" w:eastAsia="Times New Roman" w:hAnsi="Arial" w:cs="Arial"/>
          <w:szCs w:val="24"/>
        </w:rPr>
        <w:t xml:space="preserve">serious disturbance at the time of the examination, such as noise from nearby building works </w:t>
      </w:r>
    </w:p>
    <w:p w:rsidR="00D07A03" w:rsidRDefault="00D07A03" w:rsidP="000403AF">
      <w:pPr>
        <w:numPr>
          <w:ilvl w:val="0"/>
          <w:numId w:val="2"/>
        </w:numPr>
        <w:spacing w:before="120" w:after="120" w:line="240" w:lineRule="auto"/>
        <w:ind w:left="1440" w:hanging="360"/>
        <w:rPr>
          <w:rFonts w:ascii="Arial" w:eastAsia="Times New Roman" w:hAnsi="Arial" w:cs="Arial"/>
          <w:szCs w:val="24"/>
        </w:rPr>
      </w:pPr>
      <w:proofErr w:type="gramStart"/>
      <w:r>
        <w:rPr>
          <w:rFonts w:ascii="Arial" w:eastAsia="Times New Roman" w:hAnsi="Arial" w:cs="Arial"/>
          <w:szCs w:val="24"/>
        </w:rPr>
        <w:t>any</w:t>
      </w:r>
      <w:proofErr w:type="gramEnd"/>
      <w:r>
        <w:rPr>
          <w:rFonts w:ascii="Arial" w:eastAsia="Times New Roman" w:hAnsi="Arial" w:cs="Arial"/>
          <w:szCs w:val="24"/>
        </w:rPr>
        <w:t xml:space="preserve"> other circumstances as deemed acceptable by the NCC Education Assessments Board.</w:t>
      </w:r>
    </w:p>
    <w:p w:rsidR="00D07A03" w:rsidRDefault="00D07A03" w:rsidP="000403AF">
      <w:pPr>
        <w:spacing w:before="120" w:after="120" w:line="240" w:lineRule="auto"/>
        <w:ind w:left="720"/>
        <w:rPr>
          <w:rFonts w:ascii="Arial" w:eastAsia="Times New Roman" w:hAnsi="Arial" w:cs="Arial"/>
          <w:b/>
          <w:bCs/>
          <w:i/>
          <w:iCs/>
        </w:rPr>
      </w:pPr>
      <w:r>
        <w:rPr>
          <w:rFonts w:ascii="Arial" w:eastAsia="Times New Roman" w:hAnsi="Arial" w:cs="Arial"/>
          <w:b/>
          <w:bCs/>
          <w:i/>
          <w:iCs/>
        </w:rPr>
        <w:t>OR</w:t>
      </w:r>
    </w:p>
    <w:p w:rsidR="00D07A03" w:rsidRDefault="00D07A03" w:rsidP="000403AF">
      <w:pPr>
        <w:numPr>
          <w:ilvl w:val="0"/>
          <w:numId w:val="1"/>
        </w:numPr>
        <w:spacing w:before="120" w:after="120" w:line="240" w:lineRule="auto"/>
        <w:rPr>
          <w:rFonts w:ascii="Arial" w:eastAsia="Times New Roman" w:hAnsi="Arial" w:cs="Arial"/>
          <w:b/>
          <w:bCs/>
          <w:szCs w:val="24"/>
        </w:rPr>
      </w:pPr>
      <w:r>
        <w:rPr>
          <w:rFonts w:ascii="Arial" w:eastAsia="Times New Roman" w:hAnsi="Arial" w:cs="Arial"/>
          <w:b/>
          <w:bCs/>
          <w:szCs w:val="24"/>
        </w:rPr>
        <w:t xml:space="preserve">When the examination is not completed due to circumstances beyond the candidate’s control, for example: </w:t>
      </w:r>
    </w:p>
    <w:p w:rsidR="00D07A03" w:rsidRDefault="00D07A03" w:rsidP="000403AF">
      <w:pPr>
        <w:numPr>
          <w:ilvl w:val="0"/>
          <w:numId w:val="2"/>
        </w:numPr>
        <w:spacing w:before="120" w:after="120" w:line="240" w:lineRule="auto"/>
        <w:ind w:left="1440" w:hanging="360"/>
        <w:rPr>
          <w:rFonts w:ascii="Arial" w:eastAsia="Times New Roman" w:hAnsi="Arial" w:cs="Arial"/>
          <w:szCs w:val="24"/>
        </w:rPr>
      </w:pPr>
      <w:r>
        <w:rPr>
          <w:rFonts w:ascii="Arial" w:eastAsia="Times New Roman" w:hAnsi="Arial" w:cs="Arial"/>
          <w:szCs w:val="24"/>
        </w:rPr>
        <w:t>illness part way through an examination</w:t>
      </w:r>
    </w:p>
    <w:p w:rsidR="00D07A03" w:rsidRDefault="00D07A03" w:rsidP="000403AF">
      <w:pPr>
        <w:numPr>
          <w:ilvl w:val="0"/>
          <w:numId w:val="2"/>
        </w:numPr>
        <w:spacing w:before="120" w:after="120" w:line="240" w:lineRule="auto"/>
        <w:ind w:left="1440" w:hanging="360"/>
        <w:rPr>
          <w:rFonts w:ascii="Arial" w:hAnsi="Arial" w:cs="Arial"/>
        </w:rPr>
      </w:pPr>
      <w:proofErr w:type="gramStart"/>
      <w:r>
        <w:rPr>
          <w:rFonts w:ascii="Arial" w:eastAsia="Times New Roman" w:hAnsi="Arial" w:cs="Arial"/>
          <w:szCs w:val="24"/>
        </w:rPr>
        <w:t>disruption</w:t>
      </w:r>
      <w:proofErr w:type="gramEnd"/>
      <w:r>
        <w:rPr>
          <w:rFonts w:ascii="Arial" w:eastAsia="Times New Roman" w:hAnsi="Arial" w:cs="Arial"/>
          <w:szCs w:val="24"/>
        </w:rPr>
        <w:t xml:space="preserve"> to the examination by external factors, such as a fire alarm or power failure.</w:t>
      </w:r>
    </w:p>
    <w:p w:rsidR="00D07A03" w:rsidRDefault="00D07A03" w:rsidP="000403AF">
      <w:pPr>
        <w:spacing w:before="120" w:after="120" w:line="240" w:lineRule="auto"/>
        <w:ind w:left="1440"/>
        <w:rPr>
          <w:rFonts w:ascii="Arial" w:hAnsi="Arial" w:cs="Arial"/>
        </w:rPr>
      </w:pPr>
    </w:p>
    <w:p w:rsidR="00D07A03" w:rsidRPr="00D07A03" w:rsidRDefault="00D07A03" w:rsidP="000403AF">
      <w:pPr>
        <w:rPr>
          <w:rFonts w:ascii="Arial" w:hAnsi="Arial" w:cs="Arial"/>
          <w:b/>
        </w:rPr>
      </w:pPr>
      <w:r>
        <w:rPr>
          <w:rFonts w:ascii="Arial" w:hAnsi="Arial" w:cs="Arial"/>
        </w:rPr>
        <w:t>Post-assessment special considerations are intended to allow for those who suffer sudden minor illness or injury at the time of the examination and do not include those who are injured in advance of the examination or are ill at the time. It is not advisable for a candidate who is unwell to attend for an examination, nor for those experiencing illness or injury to be assessed under disadvantageous circumstances that cannot be taken into account by the examiner.</w:t>
      </w:r>
    </w:p>
    <w:p w:rsidR="00D07A03" w:rsidRDefault="00D07A03" w:rsidP="00D07A03">
      <w:pPr>
        <w:rPr>
          <w:rFonts w:ascii="Arial" w:hAnsi="Arial" w:cs="Arial"/>
          <w:b/>
          <w:sz w:val="28"/>
        </w:rPr>
      </w:pPr>
      <w:r>
        <w:rPr>
          <w:rFonts w:ascii="Arial" w:hAnsi="Arial" w:cs="Arial"/>
          <w:b/>
          <w:sz w:val="28"/>
        </w:rPr>
        <w:t>Process for Requesting Special Considerations</w:t>
      </w:r>
    </w:p>
    <w:p w:rsidR="000403AF" w:rsidRPr="000403AF" w:rsidRDefault="000403AF" w:rsidP="00D07A03">
      <w:pPr>
        <w:rPr>
          <w:rFonts w:ascii="Arial" w:hAnsi="Arial" w:cs="Arial"/>
          <w:b/>
          <w:i/>
          <w:color w:val="FF0000"/>
          <w:sz w:val="28"/>
        </w:rPr>
      </w:pPr>
      <w:proofErr w:type="gramStart"/>
      <w:r w:rsidRPr="000403AF">
        <w:rPr>
          <w:rFonts w:ascii="Arial" w:hAnsi="Arial" w:cs="Arial"/>
          <w:b/>
          <w:i/>
          <w:color w:val="FF0000"/>
        </w:rPr>
        <w:t>Section for the Centre to write their own process for requesting Special Considerations, including which person/job role to contact.</w:t>
      </w:r>
      <w:proofErr w:type="gramEnd"/>
    </w:p>
    <w:p w:rsidR="00D07A03" w:rsidRDefault="00D07A03" w:rsidP="00D07A03">
      <w:pPr>
        <w:rPr>
          <w:rFonts w:ascii="Arial" w:hAnsi="Arial" w:cs="Arial"/>
          <w:b/>
          <w:sz w:val="28"/>
        </w:rPr>
      </w:pPr>
      <w:r>
        <w:rPr>
          <w:rFonts w:ascii="Arial" w:hAnsi="Arial" w:cs="Arial"/>
          <w:b/>
          <w:sz w:val="28"/>
        </w:rPr>
        <w:br/>
        <w:t>Further Information</w:t>
      </w:r>
    </w:p>
    <w:p w:rsidR="00D07A03" w:rsidRPr="00D07A03" w:rsidRDefault="00D07A03">
      <w:pPr>
        <w:rPr>
          <w:rFonts w:ascii="Arial" w:hAnsi="Arial" w:cs="Arial"/>
        </w:rPr>
      </w:pPr>
      <w:r>
        <w:rPr>
          <w:rFonts w:ascii="Arial" w:hAnsi="Arial" w:cs="Arial"/>
        </w:rPr>
        <w:t xml:space="preserve">For further information, please consult NCC Education’s Special Considerations Policy (which can be found at </w:t>
      </w:r>
      <w:hyperlink r:id="rId6" w:history="1">
        <w:r w:rsidR="000403AF" w:rsidRPr="000C4FC9">
          <w:rPr>
            <w:rStyle w:val="Hyperlink"/>
            <w:rFonts w:ascii="Arial" w:hAnsi="Arial" w:cs="Arial"/>
          </w:rPr>
          <w:t>http://www.nccedu.com/policies--advice/policies-and-procedures</w:t>
        </w:r>
      </w:hyperlink>
      <w:r w:rsidR="000403AF">
        <w:rPr>
          <w:rFonts w:ascii="Arial" w:hAnsi="Arial" w:cs="Arial"/>
        </w:rPr>
        <w:t xml:space="preserve">) or contact </w:t>
      </w:r>
      <w:r w:rsidR="000403AF" w:rsidRPr="003E40B4">
        <w:rPr>
          <w:rFonts w:ascii="Arial" w:hAnsi="Arial" w:cs="Arial"/>
          <w:b/>
          <w:color w:val="FF0000"/>
        </w:rPr>
        <w:t xml:space="preserve">[PERSON/JOB ROLE] </w:t>
      </w:r>
      <w:r w:rsidR="000403AF">
        <w:rPr>
          <w:rFonts w:ascii="Arial" w:hAnsi="Arial" w:cs="Arial"/>
        </w:rPr>
        <w:t xml:space="preserve">at </w:t>
      </w:r>
      <w:r w:rsidR="000403AF" w:rsidRPr="003E40B4">
        <w:rPr>
          <w:rFonts w:ascii="Arial" w:hAnsi="Arial" w:cs="Arial"/>
          <w:b/>
          <w:color w:val="FF0000"/>
        </w:rPr>
        <w:t>[CENTRE NAME]</w:t>
      </w:r>
    </w:p>
    <w:sectPr w:rsidR="00D07A03" w:rsidRPr="00D07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altName w:val="Gill Sans"/>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lowerLetter"/>
      <w:lvlText w:val="%1."/>
      <w:lvlJc w:val="left"/>
      <w:pPr>
        <w:tabs>
          <w:tab w:val="left" w:pos="720"/>
        </w:tabs>
        <w:ind w:left="720" w:hanging="360"/>
      </w:pPr>
      <w:rPr>
        <w:rFonts w:ascii="Gill Sans MT" w:hAnsi="Gill Sans MT"/>
        <w:b/>
        <w:bCs/>
        <w:sz w:val="24"/>
        <w:szCs w:val="22"/>
      </w:rPr>
    </w:lvl>
    <w:lvl w:ilvl="1" w:tentative="1">
      <w:start w:val="1"/>
      <w:numFmt w:val="decimal"/>
      <w:pStyle w:val="BodyTextIndent"/>
      <w:lvlText w:val=""/>
      <w:lvlJc w:val="left"/>
    </w:lvl>
    <w:lvl w:ilvl="2" w:tentative="1">
      <w:start w:val="1"/>
      <w:numFmt w:val="decimal"/>
      <w:lvlText w:val=""/>
      <w:lvlJc w:val="left"/>
    </w:lvl>
    <w:lvl w:ilvl="3" w:tentative="1">
      <w:start w:val="1"/>
      <w:numFmt w:val="decimal"/>
      <w:lvlText w:val=""/>
      <w:lvlJc w:val="left"/>
    </w:lvl>
    <w:lvl w:ilvl="4" w:tentative="1">
      <w:start w:val="1"/>
      <w:numFmt w:val="decimal"/>
      <w:lvlText w:val=""/>
      <w:lvlJc w:val="left"/>
    </w:lvl>
    <w:lvl w:ilvl="5" w:tentative="1">
      <w:start w:val="1"/>
      <w:numFmt w:val="decimal"/>
      <w:lvlText w:val=""/>
      <w:lvlJc w:val="left"/>
    </w:lvl>
    <w:lvl w:ilvl="6" w:tentative="1">
      <w:start w:val="1"/>
      <w:numFmt w:val="decimal"/>
      <w:lvlText w:val=""/>
      <w:lvlJc w:val="left"/>
    </w:lvl>
    <w:lvl w:ilvl="7" w:tentative="1">
      <w:start w:val="1"/>
      <w:numFmt w:val="decimal"/>
      <w:lvlText w:val=""/>
      <w:lvlJc w:val="left"/>
    </w:lvl>
    <w:lvl w:ilvl="8" w:tentative="1">
      <w:start w:val="1"/>
      <w:numFmt w:val="decimal"/>
      <w:lvlText w:val=""/>
      <w:lvlJc w:val="left"/>
    </w:lvl>
  </w:abstractNum>
  <w:abstractNum w:abstractNumId="1">
    <w:nsid w:val="409545EE"/>
    <w:multiLevelType w:val="multilevel"/>
    <w:tmpl w:val="409545EE"/>
    <w:lvl w:ilvl="0">
      <w:numFmt w:val="none"/>
      <w:lvlText w:val="-"/>
      <w:lvlJc w:val="left"/>
      <w:pPr>
        <w:tabs>
          <w:tab w:val="left" w:pos="1080"/>
        </w:tabs>
        <w:ind w:left="1080" w:firstLine="0"/>
      </w:pPr>
      <w:rPr>
        <w:rFonts w:ascii="Times New Roman" w:hAnsi="Times New Roman" w:cs="Times New Roman" w:hint="default"/>
      </w:rPr>
    </w:lvl>
    <w:lvl w:ilvl="1" w:tentative="1">
      <w:numFmt w:val="none"/>
      <w:pStyle w:val="bulleted2ndlevel"/>
      <w:lvlText w:val=""/>
      <w:lvlJc w:val="left"/>
      <w:pPr>
        <w:tabs>
          <w:tab w:val="left" w:pos="1080"/>
        </w:tabs>
        <w:ind w:left="1080" w:firstLine="0"/>
      </w:pPr>
      <w:rPr>
        <w:rFonts w:ascii="Symbol" w:hAnsi="Symbol" w:cs="Times New Roman"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03"/>
    <w:rsid w:val="000403AF"/>
    <w:rsid w:val="00130F5F"/>
    <w:rsid w:val="004E1AF3"/>
    <w:rsid w:val="00651DE6"/>
    <w:rsid w:val="007E3ECF"/>
    <w:rsid w:val="00D07A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03"/>
    <w:pPr>
      <w:spacing w:after="200" w:line="276"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07A03"/>
    <w:pPr>
      <w:numPr>
        <w:ilvl w:val="1"/>
        <w:numId w:val="1"/>
      </w:numPr>
      <w:tabs>
        <w:tab w:val="left" w:pos="720"/>
      </w:tabs>
      <w:spacing w:before="120" w:after="120" w:line="240" w:lineRule="auto"/>
      <w:ind w:left="283"/>
      <w:jc w:val="both"/>
    </w:pPr>
    <w:rPr>
      <w:rFonts w:ascii="Gill Sans MT" w:eastAsia="Times New Roman" w:hAnsi="Gill Sans MT"/>
      <w:szCs w:val="24"/>
    </w:rPr>
  </w:style>
  <w:style w:type="character" w:customStyle="1" w:styleId="BodyTextIndentChar">
    <w:name w:val="Body Text Indent Char"/>
    <w:basedOn w:val="DefaultParagraphFont"/>
    <w:link w:val="BodyTextIndent"/>
    <w:rsid w:val="00D07A03"/>
    <w:rPr>
      <w:rFonts w:ascii="Gill Sans MT" w:eastAsia="Times New Roman" w:hAnsi="Gill Sans MT" w:cs="Times New Roman"/>
      <w:szCs w:val="24"/>
      <w:lang w:val="en-US" w:eastAsia="en-US"/>
    </w:rPr>
  </w:style>
  <w:style w:type="paragraph" w:customStyle="1" w:styleId="bulleted2ndlevel">
    <w:name w:val="bulleted 2nd level"/>
    <w:basedOn w:val="Normal"/>
    <w:rsid w:val="00D07A03"/>
    <w:pPr>
      <w:numPr>
        <w:ilvl w:val="1"/>
        <w:numId w:val="2"/>
      </w:numPr>
      <w:tabs>
        <w:tab w:val="clear" w:pos="1080"/>
        <w:tab w:val="left" w:pos="1440"/>
      </w:tabs>
      <w:spacing w:before="120" w:after="120" w:line="240" w:lineRule="auto"/>
      <w:ind w:left="1440" w:hanging="360"/>
      <w:jc w:val="both"/>
    </w:pPr>
    <w:rPr>
      <w:rFonts w:ascii="Gill Sans MT" w:eastAsia="Times New Roman" w:hAnsi="Gill Sans MT"/>
      <w:szCs w:val="24"/>
    </w:rPr>
  </w:style>
  <w:style w:type="character" w:styleId="Hyperlink">
    <w:name w:val="Hyperlink"/>
    <w:basedOn w:val="DefaultParagraphFont"/>
    <w:uiPriority w:val="99"/>
    <w:unhideWhenUsed/>
    <w:rsid w:val="000403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03"/>
    <w:pPr>
      <w:spacing w:after="200" w:line="276"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07A03"/>
    <w:pPr>
      <w:numPr>
        <w:ilvl w:val="1"/>
        <w:numId w:val="1"/>
      </w:numPr>
      <w:tabs>
        <w:tab w:val="left" w:pos="720"/>
      </w:tabs>
      <w:spacing w:before="120" w:after="120" w:line="240" w:lineRule="auto"/>
      <w:ind w:left="283"/>
      <w:jc w:val="both"/>
    </w:pPr>
    <w:rPr>
      <w:rFonts w:ascii="Gill Sans MT" w:eastAsia="Times New Roman" w:hAnsi="Gill Sans MT"/>
      <w:szCs w:val="24"/>
    </w:rPr>
  </w:style>
  <w:style w:type="character" w:customStyle="1" w:styleId="BodyTextIndentChar">
    <w:name w:val="Body Text Indent Char"/>
    <w:basedOn w:val="DefaultParagraphFont"/>
    <w:link w:val="BodyTextIndent"/>
    <w:rsid w:val="00D07A03"/>
    <w:rPr>
      <w:rFonts w:ascii="Gill Sans MT" w:eastAsia="Times New Roman" w:hAnsi="Gill Sans MT" w:cs="Times New Roman"/>
      <w:szCs w:val="24"/>
      <w:lang w:val="en-US" w:eastAsia="en-US"/>
    </w:rPr>
  </w:style>
  <w:style w:type="paragraph" w:customStyle="1" w:styleId="bulleted2ndlevel">
    <w:name w:val="bulleted 2nd level"/>
    <w:basedOn w:val="Normal"/>
    <w:rsid w:val="00D07A03"/>
    <w:pPr>
      <w:numPr>
        <w:ilvl w:val="1"/>
        <w:numId w:val="2"/>
      </w:numPr>
      <w:tabs>
        <w:tab w:val="clear" w:pos="1080"/>
        <w:tab w:val="left" w:pos="1440"/>
      </w:tabs>
      <w:spacing w:before="120" w:after="120" w:line="240" w:lineRule="auto"/>
      <w:ind w:left="1440" w:hanging="360"/>
      <w:jc w:val="both"/>
    </w:pPr>
    <w:rPr>
      <w:rFonts w:ascii="Gill Sans MT" w:eastAsia="Times New Roman" w:hAnsi="Gill Sans MT"/>
      <w:szCs w:val="24"/>
    </w:rPr>
  </w:style>
  <w:style w:type="character" w:styleId="Hyperlink">
    <w:name w:val="Hyperlink"/>
    <w:basedOn w:val="DefaultParagraphFont"/>
    <w:uiPriority w:val="99"/>
    <w:unhideWhenUsed/>
    <w:rsid w:val="00040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edu.com/policies--advice/policies-and-procedures"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F1DB708075F449D65771F14A1B3DA" ma:contentTypeVersion="12" ma:contentTypeDescription="Create a new document." ma:contentTypeScope="" ma:versionID="3ad377ab0681d7496dc829d31a8c7568">
  <xsd:schema xmlns:xsd="http://www.w3.org/2001/XMLSchema" xmlns:xs="http://www.w3.org/2001/XMLSchema" xmlns:p="http://schemas.microsoft.com/office/2006/metadata/properties" xmlns:ns2="460c3476-ebb2-4047-91f1-80ab0c52813d" xmlns:ns3="f44e8003-5d2d-4d4d-9d5f-d43f8bcf5c69" targetNamespace="http://schemas.microsoft.com/office/2006/metadata/properties" ma:root="true" ma:fieldsID="ba6ee7e7b81c7277009e537a556a160b" ns2:_="" ns3:_="">
    <xsd:import namespace="460c3476-ebb2-4047-91f1-80ab0c52813d"/>
    <xsd:import namespace="f44e8003-5d2d-4d4d-9d5f-d43f8bcf5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c3476-ebb2-4047-91f1-80ab0c52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8da7c-a375-4482-8dde-3a974fc2f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e8003-5d2d-4d4d-9d5f-d43f8bcf5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b6a25c-e95c-48c6-b9c6-6895970f5eb2}" ma:internalName="TaxCatchAll" ma:showField="CatchAllData" ma:web="f44e8003-5d2d-4d4d-9d5f-d43f8bcf5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c3476-ebb2-4047-91f1-80ab0c52813d">
      <Terms xmlns="http://schemas.microsoft.com/office/infopath/2007/PartnerControls"/>
    </lcf76f155ced4ddcb4097134ff3c332f>
    <TaxCatchAll xmlns="f44e8003-5d2d-4d4d-9d5f-d43f8bcf5c69" xsi:nil="true"/>
  </documentManagement>
</p:properties>
</file>

<file path=customXml/itemProps1.xml><?xml version="1.0" encoding="utf-8"?>
<ds:datastoreItem xmlns:ds="http://schemas.openxmlformats.org/officeDocument/2006/customXml" ds:itemID="{E2D50CDC-7D00-4E37-AD55-C740821B6C62}"/>
</file>

<file path=customXml/itemProps2.xml><?xml version="1.0" encoding="utf-8"?>
<ds:datastoreItem xmlns:ds="http://schemas.openxmlformats.org/officeDocument/2006/customXml" ds:itemID="{79C74396-5E09-4ABE-A651-507C53159721}"/>
</file>

<file path=customXml/itemProps3.xml><?xml version="1.0" encoding="utf-8"?>
<ds:datastoreItem xmlns:ds="http://schemas.openxmlformats.org/officeDocument/2006/customXml" ds:itemID="{2AC6E616-FEB6-43B9-A46A-D2A83DC45E8A}"/>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richard.kay</dc:creator>
  <cp:lastModifiedBy>Chris Brookes</cp:lastModifiedBy>
  <cp:revision>5</cp:revision>
  <dcterms:created xsi:type="dcterms:W3CDTF">2015-07-02T08:18:00Z</dcterms:created>
  <dcterms:modified xsi:type="dcterms:W3CDTF">2015-07-21T10:09:00Z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0x010100465F1DB708075F449D65771F14A1B3DA</vt:lpwstr>
  </property>
  <property fmtid="{D5CDD505-2E9C-101B-9397-08002B2CF9AE}" pid="3" name="Order">
    <vt:r8>18261700</vt:r8>
  </property>
</Properties>
</file>